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0242" w:rsidRPr="00CF07A5" w:rsidRDefault="00CF07A5" w:rsidP="00CF07A5">
      <w:pPr>
        <w:jc w:val="center"/>
        <w:rPr>
          <w:rFonts w:ascii="Californian FB" w:hAnsi="Californian FB"/>
          <w:sz w:val="40"/>
          <w:szCs w:val="40"/>
        </w:rPr>
      </w:pPr>
      <w:r w:rsidRPr="00CF07A5">
        <w:rPr>
          <w:rFonts w:ascii="Californian FB" w:hAnsi="Californian FB"/>
          <w:sz w:val="40"/>
          <w:szCs w:val="40"/>
        </w:rPr>
        <w:t xml:space="preserve">Helendale </w:t>
      </w:r>
    </w:p>
    <w:p w:rsidR="00CF07A5" w:rsidRPr="00CF07A5" w:rsidRDefault="00CF07A5" w:rsidP="00CF07A5">
      <w:pPr>
        <w:jc w:val="center"/>
        <w:rPr>
          <w:rFonts w:ascii="Californian FB" w:hAnsi="Californian FB"/>
          <w:sz w:val="40"/>
          <w:szCs w:val="40"/>
        </w:rPr>
      </w:pPr>
      <w:r w:rsidRPr="00CF07A5">
        <w:rPr>
          <w:rFonts w:ascii="Californian FB" w:hAnsi="Californian FB"/>
          <w:sz w:val="40"/>
          <w:szCs w:val="40"/>
        </w:rPr>
        <w:t>2016 3</w:t>
      </w:r>
      <w:r w:rsidRPr="00CF07A5">
        <w:rPr>
          <w:rFonts w:ascii="Californian FB" w:hAnsi="Californian FB"/>
          <w:sz w:val="40"/>
          <w:szCs w:val="40"/>
          <w:vertAlign w:val="superscript"/>
        </w:rPr>
        <w:t>rd</w:t>
      </w:r>
      <w:r w:rsidRPr="00CF07A5">
        <w:rPr>
          <w:rFonts w:ascii="Californian FB" w:hAnsi="Californian FB"/>
          <w:sz w:val="40"/>
          <w:szCs w:val="40"/>
        </w:rPr>
        <w:t xml:space="preserve"> Quarter Sales</w:t>
      </w:r>
    </w:p>
    <w:p w:rsidR="00CF07A5" w:rsidRDefault="00CF07A5" w:rsidP="00CF07A5">
      <w:pPr>
        <w:jc w:val="center"/>
        <w:rPr>
          <w:rFonts w:ascii="Californian FB" w:hAnsi="Californian FB"/>
          <w:b/>
          <w:sz w:val="40"/>
          <w:szCs w:val="40"/>
        </w:rPr>
      </w:pPr>
    </w:p>
    <w:p w:rsidR="00CF07A5" w:rsidRPr="00CF07A5" w:rsidRDefault="00CF07A5" w:rsidP="00CF07A5">
      <w:pPr>
        <w:jc w:val="center"/>
        <w:rPr>
          <w:rFonts w:ascii="Californian FB" w:hAnsi="Californian FB"/>
          <w:b/>
          <w:sz w:val="40"/>
          <w:szCs w:val="40"/>
        </w:rPr>
      </w:pPr>
      <w:bookmarkStart w:id="0" w:name="_GoBack"/>
      <w:r>
        <w:rPr>
          <w:noProof/>
        </w:rPr>
        <w:drawing>
          <wp:inline distT="0" distB="0" distL="0" distR="0" wp14:anchorId="3F5BA6FF" wp14:editId="0C43D4CF">
            <wp:extent cx="9163050" cy="5600700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sectPr w:rsidR="00CF07A5" w:rsidRPr="00CF07A5" w:rsidSect="00CF07A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7A5"/>
    <w:rsid w:val="003D1DFD"/>
    <w:rsid w:val="008D0242"/>
    <w:rsid w:val="00CF0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86EEA9-E9CF-4D9C-8753-5C83F0814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4825969518882906"/>
          <c:y val="3.6281179138321996E-2"/>
          <c:w val="0.84065229372315986"/>
          <c:h val="0.95011337868480727"/>
        </c:manualLayout>
      </c:layout>
      <c:bar3DChart>
        <c:barDir val="bar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Totals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Sheet1!$A$2:$A$15</c:f>
              <c:strCache>
                <c:ptCount val="14"/>
                <c:pt idx="0">
                  <c:v>&gt;$100,000 to &lt;$125,000</c:v>
                </c:pt>
                <c:pt idx="1">
                  <c:v>&gt;$125,000 to &lt;$150,000</c:v>
                </c:pt>
                <c:pt idx="2">
                  <c:v>&gt;$150,000 to &lt;$175,000</c:v>
                </c:pt>
                <c:pt idx="3">
                  <c:v>&gt;$175,000 to &lt;$200,000</c:v>
                </c:pt>
                <c:pt idx="4">
                  <c:v>&gt;$200,000 to &lt;$225,000</c:v>
                </c:pt>
                <c:pt idx="5">
                  <c:v>&gt;$225,000 to &lt;$250,000</c:v>
                </c:pt>
                <c:pt idx="6">
                  <c:v>&gt;$250,000 to &lt;$275,000</c:v>
                </c:pt>
                <c:pt idx="7">
                  <c:v>&gt;$275,000 to &lt;$300,000</c:v>
                </c:pt>
                <c:pt idx="8">
                  <c:v>&gt;$300,000 to &lt;$325,000</c:v>
                </c:pt>
                <c:pt idx="9">
                  <c:v>&gt;$325,000 to &lt;$350,000</c:v>
                </c:pt>
                <c:pt idx="10">
                  <c:v>&gt;$350,000 to &lt;$400,000</c:v>
                </c:pt>
                <c:pt idx="11">
                  <c:v>&gt;$400,000 to &lt;$450,000</c:v>
                </c:pt>
                <c:pt idx="12">
                  <c:v>&gt;$450,000 to &lt;$500,000</c:v>
                </c:pt>
                <c:pt idx="13">
                  <c:v>&gt;$500,000 and up</c:v>
                </c:pt>
              </c:strCache>
            </c:strRef>
          </c:cat>
          <c:val>
            <c:numRef>
              <c:f>Sheet1!$B$2:$B$15</c:f>
              <c:numCache>
                <c:formatCode>General</c:formatCode>
                <c:ptCount val="14"/>
                <c:pt idx="1">
                  <c:v>6</c:v>
                </c:pt>
                <c:pt idx="2">
                  <c:v>7</c:v>
                </c:pt>
                <c:pt idx="3">
                  <c:v>10</c:v>
                </c:pt>
                <c:pt idx="4">
                  <c:v>7</c:v>
                </c:pt>
                <c:pt idx="5">
                  <c:v>8</c:v>
                </c:pt>
                <c:pt idx="6">
                  <c:v>3</c:v>
                </c:pt>
                <c:pt idx="7">
                  <c:v>4</c:v>
                </c:pt>
                <c:pt idx="8">
                  <c:v>2</c:v>
                </c:pt>
                <c:pt idx="9">
                  <c:v>1</c:v>
                </c:pt>
                <c:pt idx="10">
                  <c:v>3</c:v>
                </c:pt>
                <c:pt idx="11">
                  <c:v>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370680712"/>
        <c:axId val="370679144"/>
        <c:axId val="0"/>
      </c:bar3DChart>
      <c:catAx>
        <c:axId val="37068071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70679144"/>
        <c:crosses val="autoZero"/>
        <c:auto val="1"/>
        <c:lblAlgn val="ctr"/>
        <c:lblOffset val="100"/>
        <c:noMultiLvlLbl val="0"/>
      </c:catAx>
      <c:valAx>
        <c:axId val="370679144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3706807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0.71206</cdr:x>
      <cdr:y>0.34354</cdr:y>
    </cdr:from>
    <cdr:to>
      <cdr:x>0.81185</cdr:x>
      <cdr:y>0.5068</cdr:y>
    </cdr:to>
    <cdr:sp macro="" textlink="">
      <cdr:nvSpPr>
        <cdr:cNvPr id="2" name="Text Box 1"/>
        <cdr:cNvSpPr txBox="1"/>
      </cdr:nvSpPr>
      <cdr:spPr>
        <a:xfrm xmlns:a="http://schemas.openxmlformats.org/drawingml/2006/main">
          <a:off x="6524625" y="192405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  <cdr:relSizeAnchor xmlns:cdr="http://schemas.openxmlformats.org/drawingml/2006/chartDrawing">
    <cdr:from>
      <cdr:x>0.16632</cdr:x>
      <cdr:y>0.22449</cdr:y>
    </cdr:from>
    <cdr:to>
      <cdr:x>0.47089</cdr:x>
      <cdr:y>0.26531</cdr:y>
    </cdr:to>
    <cdr:sp macro="" textlink="">
      <cdr:nvSpPr>
        <cdr:cNvPr id="3" name="Text Box 2"/>
        <cdr:cNvSpPr txBox="1"/>
      </cdr:nvSpPr>
      <cdr:spPr>
        <a:xfrm xmlns:a="http://schemas.openxmlformats.org/drawingml/2006/main">
          <a:off x="1524000" y="1257300"/>
          <a:ext cx="2790825" cy="2286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i="1" baseline="0"/>
            <a:t> </a:t>
          </a:r>
          <a:r>
            <a:rPr lang="en-US" sz="1000" b="1" i="1" baseline="0"/>
            <a:t>2,983</a:t>
          </a:r>
          <a:r>
            <a:rPr lang="en-US" sz="1000" i="1" baseline="0"/>
            <a:t> - Average Year Built </a:t>
          </a:r>
          <a:r>
            <a:rPr lang="en-US" sz="1000" b="1" i="1" baseline="0"/>
            <a:t>1988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0.16632</cdr:x>
      <cdr:y>0.28912</cdr:y>
    </cdr:from>
    <cdr:to>
      <cdr:x>0.47297</cdr:x>
      <cdr:y>0.33163</cdr:y>
    </cdr:to>
    <cdr:sp macro="" textlink="">
      <cdr:nvSpPr>
        <cdr:cNvPr id="4" name="Text Box 3"/>
        <cdr:cNvSpPr txBox="1"/>
      </cdr:nvSpPr>
      <cdr:spPr>
        <a:xfrm xmlns:a="http://schemas.openxmlformats.org/drawingml/2006/main">
          <a:off x="1524000" y="1619250"/>
          <a:ext cx="280987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i="1" baseline="0"/>
            <a:t> </a:t>
          </a:r>
          <a:r>
            <a:rPr lang="en-US" sz="1000" b="1" i="1" baseline="0"/>
            <a:t>2,605</a:t>
          </a:r>
          <a:r>
            <a:rPr lang="en-US" sz="1000" i="1" baseline="0"/>
            <a:t> - Average Year Built </a:t>
          </a:r>
          <a:r>
            <a:rPr lang="en-US" sz="1000" b="1" i="1" baseline="0"/>
            <a:t>1998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0.16528</cdr:x>
      <cdr:y>0.35544</cdr:y>
    </cdr:from>
    <cdr:to>
      <cdr:x>0.47089</cdr:x>
      <cdr:y>0.39966</cdr:y>
    </cdr:to>
    <cdr:sp macro="" textlink="">
      <cdr:nvSpPr>
        <cdr:cNvPr id="5" name="Text Box 4"/>
        <cdr:cNvSpPr txBox="1"/>
      </cdr:nvSpPr>
      <cdr:spPr>
        <a:xfrm xmlns:a="http://schemas.openxmlformats.org/drawingml/2006/main">
          <a:off x="1514475" y="1990725"/>
          <a:ext cx="2800350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2,213 </a:t>
          </a:r>
          <a:r>
            <a:rPr lang="en-US" sz="1000" i="1"/>
            <a:t>- Average Year Built </a:t>
          </a:r>
          <a:r>
            <a:rPr lang="en-US" sz="1000" b="1" i="1"/>
            <a:t>1976</a:t>
          </a:r>
        </a:p>
      </cdr:txBody>
    </cdr:sp>
  </cdr:relSizeAnchor>
  <cdr:relSizeAnchor xmlns:cdr="http://schemas.openxmlformats.org/drawingml/2006/chartDrawing">
    <cdr:from>
      <cdr:x>0.16632</cdr:x>
      <cdr:y>0.42007</cdr:y>
    </cdr:from>
    <cdr:to>
      <cdr:x>0.49792</cdr:x>
      <cdr:y>0.46429</cdr:y>
    </cdr:to>
    <cdr:sp macro="" textlink="">
      <cdr:nvSpPr>
        <cdr:cNvPr id="6" name="Text Box 5"/>
        <cdr:cNvSpPr txBox="1"/>
      </cdr:nvSpPr>
      <cdr:spPr>
        <a:xfrm xmlns:a="http://schemas.openxmlformats.org/drawingml/2006/main">
          <a:off x="1524000" y="2352675"/>
          <a:ext cx="303847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2,210 </a:t>
          </a:r>
          <a:r>
            <a:rPr lang="en-US" sz="1000" i="1"/>
            <a:t>- Average Year Built </a:t>
          </a:r>
          <a:r>
            <a:rPr lang="en-US" sz="1000" b="1" i="1"/>
            <a:t>2002</a:t>
          </a:r>
        </a:p>
      </cdr:txBody>
    </cdr:sp>
  </cdr:relSizeAnchor>
  <cdr:relSizeAnchor xmlns:cdr="http://schemas.openxmlformats.org/drawingml/2006/chartDrawing">
    <cdr:from>
      <cdr:x>0.16528</cdr:x>
      <cdr:y>0.48469</cdr:y>
    </cdr:from>
    <cdr:to>
      <cdr:x>0.47193</cdr:x>
      <cdr:y>0.52891</cdr:y>
    </cdr:to>
    <cdr:sp macro="" textlink="">
      <cdr:nvSpPr>
        <cdr:cNvPr id="7" name="Text Box 6"/>
        <cdr:cNvSpPr txBox="1"/>
      </cdr:nvSpPr>
      <cdr:spPr>
        <a:xfrm xmlns:a="http://schemas.openxmlformats.org/drawingml/2006/main">
          <a:off x="1514475" y="2714625"/>
          <a:ext cx="280987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2,357</a:t>
          </a:r>
          <a:r>
            <a:rPr lang="en-US" sz="1000" i="1"/>
            <a:t> - Average Year Built</a:t>
          </a:r>
          <a:r>
            <a:rPr lang="en-US" sz="1000" i="1" baseline="0"/>
            <a:t> </a:t>
          </a:r>
          <a:r>
            <a:rPr lang="en-US" sz="1000" b="1" i="1" baseline="0"/>
            <a:t>1992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0.16528</cdr:x>
      <cdr:y>0.55102</cdr:y>
    </cdr:from>
    <cdr:to>
      <cdr:x>0.5052</cdr:x>
      <cdr:y>0.59524</cdr:y>
    </cdr:to>
    <cdr:sp macro="" textlink="">
      <cdr:nvSpPr>
        <cdr:cNvPr id="8" name="Text Box 7"/>
        <cdr:cNvSpPr txBox="1"/>
      </cdr:nvSpPr>
      <cdr:spPr>
        <a:xfrm xmlns:a="http://schemas.openxmlformats.org/drawingml/2006/main">
          <a:off x="1514475" y="3086100"/>
          <a:ext cx="311467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2,350</a:t>
          </a:r>
          <a:r>
            <a:rPr lang="en-US" sz="1000" i="1" baseline="0"/>
            <a:t> - Average Year Built </a:t>
          </a:r>
          <a:r>
            <a:rPr lang="en-US" sz="1000" b="1" i="1" baseline="0"/>
            <a:t>2004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0.16237</cdr:x>
      <cdr:y>0.61735</cdr:y>
    </cdr:from>
    <cdr:to>
      <cdr:x>0.37422</cdr:x>
      <cdr:y>0.65476</cdr:y>
    </cdr:to>
    <cdr:sp macro="" textlink="">
      <cdr:nvSpPr>
        <cdr:cNvPr id="9" name="Text Box 8"/>
        <cdr:cNvSpPr txBox="1"/>
      </cdr:nvSpPr>
      <cdr:spPr>
        <a:xfrm xmlns:a="http://schemas.openxmlformats.org/drawingml/2006/main">
          <a:off x="1487806" y="3457575"/>
          <a:ext cx="1941194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  <cdr:relSizeAnchor xmlns:cdr="http://schemas.openxmlformats.org/drawingml/2006/chartDrawing">
    <cdr:from>
      <cdr:x>0.16528</cdr:x>
      <cdr:y>0.61905</cdr:y>
    </cdr:from>
    <cdr:to>
      <cdr:x>0.48441</cdr:x>
      <cdr:y>0.66156</cdr:y>
    </cdr:to>
    <cdr:sp macro="" textlink="">
      <cdr:nvSpPr>
        <cdr:cNvPr id="10" name="Text Box 9"/>
        <cdr:cNvSpPr txBox="1"/>
      </cdr:nvSpPr>
      <cdr:spPr>
        <a:xfrm xmlns:a="http://schemas.openxmlformats.org/drawingml/2006/main">
          <a:off x="1514475" y="3467100"/>
          <a:ext cx="292417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2,275</a:t>
          </a:r>
          <a:r>
            <a:rPr lang="en-US" sz="1000" i="1"/>
            <a:t> - Average Year Built </a:t>
          </a:r>
          <a:r>
            <a:rPr lang="en-US" sz="1000" b="1" i="1"/>
            <a:t>1994</a:t>
          </a:r>
        </a:p>
      </cdr:txBody>
    </cdr:sp>
  </cdr:relSizeAnchor>
  <cdr:relSizeAnchor xmlns:cdr="http://schemas.openxmlformats.org/drawingml/2006/chartDrawing">
    <cdr:from>
      <cdr:x>0.16528</cdr:x>
      <cdr:y>0.68537</cdr:y>
    </cdr:from>
    <cdr:to>
      <cdr:x>0.50208</cdr:x>
      <cdr:y>0.72449</cdr:y>
    </cdr:to>
    <cdr:sp macro="" textlink="">
      <cdr:nvSpPr>
        <cdr:cNvPr id="11" name="Text Box 10"/>
        <cdr:cNvSpPr txBox="1"/>
      </cdr:nvSpPr>
      <cdr:spPr>
        <a:xfrm xmlns:a="http://schemas.openxmlformats.org/drawingml/2006/main">
          <a:off x="1514475" y="3838575"/>
          <a:ext cx="3086100" cy="2190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</a:t>
          </a:r>
          <a:r>
            <a:rPr lang="en-US" sz="1000" i="1" baseline="0"/>
            <a:t> SqFt </a:t>
          </a:r>
          <a:r>
            <a:rPr lang="en-US" sz="1000" b="1" i="1" baseline="0"/>
            <a:t>2,105</a:t>
          </a:r>
          <a:r>
            <a:rPr lang="en-US" sz="1000" i="1" baseline="0"/>
            <a:t> - Average Year Built </a:t>
          </a:r>
          <a:r>
            <a:rPr lang="en-US" sz="1000" b="1" i="1" baseline="0"/>
            <a:t>2002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0.16528</cdr:x>
      <cdr:y>0.75</cdr:y>
    </cdr:from>
    <cdr:to>
      <cdr:x>0.51767</cdr:x>
      <cdr:y>0.79422</cdr:y>
    </cdr:to>
    <cdr:sp macro="" textlink="">
      <cdr:nvSpPr>
        <cdr:cNvPr id="12" name="Text Box 11"/>
        <cdr:cNvSpPr txBox="1"/>
      </cdr:nvSpPr>
      <cdr:spPr>
        <a:xfrm xmlns:a="http://schemas.openxmlformats.org/drawingml/2006/main">
          <a:off x="1514475" y="4200525"/>
          <a:ext cx="3228975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i="1" baseline="0"/>
            <a:t> </a:t>
          </a:r>
          <a:r>
            <a:rPr lang="en-US" sz="1000" b="1" i="1" baseline="0"/>
            <a:t>1,806</a:t>
          </a:r>
          <a:r>
            <a:rPr lang="en-US" sz="1000" i="1" baseline="0"/>
            <a:t> - Average Year Built </a:t>
          </a:r>
          <a:r>
            <a:rPr lang="en-US" sz="1000" b="1" i="1" baseline="0"/>
            <a:t>1990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0.16528</cdr:x>
      <cdr:y>0.81633</cdr:y>
    </cdr:from>
    <cdr:to>
      <cdr:x>0.48857</cdr:x>
      <cdr:y>0.85884</cdr:y>
    </cdr:to>
    <cdr:sp macro="" textlink="">
      <cdr:nvSpPr>
        <cdr:cNvPr id="13" name="Text Box 12"/>
        <cdr:cNvSpPr txBox="1"/>
      </cdr:nvSpPr>
      <cdr:spPr>
        <a:xfrm xmlns:a="http://schemas.openxmlformats.org/drawingml/2006/main">
          <a:off x="1514475" y="4572000"/>
          <a:ext cx="2962275" cy="238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</a:t>
          </a:r>
          <a:r>
            <a:rPr lang="en-US" sz="1000" b="1" i="1" baseline="0"/>
            <a:t> 1,638 </a:t>
          </a:r>
          <a:r>
            <a:rPr lang="en-US" sz="1000" i="1" baseline="0"/>
            <a:t>- Average Year Built </a:t>
          </a:r>
          <a:r>
            <a:rPr lang="en-US" sz="1000" b="1" i="1" baseline="0"/>
            <a:t>1985</a:t>
          </a:r>
          <a:endParaRPr lang="en-US" sz="1000" b="1" i="1"/>
        </a:p>
      </cdr:txBody>
    </cdr:sp>
  </cdr:relSizeAnchor>
  <cdr:relSizeAnchor xmlns:cdr="http://schemas.openxmlformats.org/drawingml/2006/chartDrawing">
    <cdr:from>
      <cdr:x>0.16528</cdr:x>
      <cdr:y>0.88265</cdr:y>
    </cdr:from>
    <cdr:to>
      <cdr:x>0.51767</cdr:x>
      <cdr:y>0.93537</cdr:y>
    </cdr:to>
    <cdr:sp macro="" textlink="">
      <cdr:nvSpPr>
        <cdr:cNvPr id="14" name="Text Box 13"/>
        <cdr:cNvSpPr txBox="1"/>
      </cdr:nvSpPr>
      <cdr:spPr>
        <a:xfrm xmlns:a="http://schemas.openxmlformats.org/drawingml/2006/main">
          <a:off x="1514475" y="4943475"/>
          <a:ext cx="3228975" cy="2952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en-US" sz="1000" i="1"/>
            <a:t>Average SqFt </a:t>
          </a:r>
          <a:r>
            <a:rPr lang="en-US" sz="1000" b="1" i="1"/>
            <a:t>1,530</a:t>
          </a:r>
          <a:r>
            <a:rPr lang="en-US" sz="1000" i="1"/>
            <a:t> - Average Year Built </a:t>
          </a:r>
          <a:r>
            <a:rPr lang="en-US" sz="1000" b="1" i="1"/>
            <a:t>1987</a:t>
          </a: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Fidelity National Financial</Company>
  <LinksUpToDate>false</LinksUpToDate>
  <CharactersWithSpaces>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Jason</dc:creator>
  <cp:keywords/>
  <dc:description/>
  <cp:lastModifiedBy>Walker, Jason</cp:lastModifiedBy>
  <cp:revision>1</cp:revision>
  <dcterms:created xsi:type="dcterms:W3CDTF">2016-10-31T16:19:00Z</dcterms:created>
  <dcterms:modified xsi:type="dcterms:W3CDTF">2016-10-31T16:31:00Z</dcterms:modified>
</cp:coreProperties>
</file>